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2450D8"/>
          <w:sz w:val="17"/>
        </w:rPr>
        <w:t>THE IT LEAD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Non-human identity register template</w:t>
      </w:r>
    </w:p>
    <w:p>
      <w:r>
        <w:rPr>
          <w:b w:val="0"/>
          <w:i w:val="0"/>
          <w:color w:val="5B6474"/>
          <w:sz w:val="21"/>
        </w:rPr>
        <w:t>Copy the register into your tracker or download it. The three rows are fictional examples with no real credentials; replace them with your own identities.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2450D8"/>
          <w:sz w:val="22"/>
        </w:rPr>
        <w:t>IDENTITY REGISTER</w:t>
      </w:r>
    </w:p>
    <w:tbl>
      <w:tblPr>
        <w:tblStyle w:val="TableGrid"/>
        <w:tblW w:w="9640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true"/>
        </w:trPr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Identity ID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Platform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Workload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Human owner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Custodian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Authentication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Access scope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Last-use evidence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Next review</w:t>
            </w:r>
          </w:p>
        </w:tc>
        <w:tc>
          <w:tcPr>
            <w:tcW w:type="dxa" w:w="964"/>
            <w:shd w:val="clear" w:color="auto" w:fill="EBF0FE"/>
          </w:tcPr>
          <w:p>
            <w:r>
              <w:rPr>
                <w:b/>
                <w:i w:val="0"/>
                <w:sz w:val="19"/>
              </w:rPr>
              <w:t>Retirement trigger</w:t>
            </w:r>
          </w:p>
        </w:tc>
      </w:tr>
      <w:tr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svc-invoice-export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Directory, production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Invoice export scheduler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Finance systems lead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Windows operations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Vaulted password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Read billing export folder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Scheduler log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Next quarterly review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Scheduler replaced</w:t>
            </w:r>
          </w:p>
        </w:tc>
      </w:tr>
      <w:tr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role-order-worker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AWS, production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Order event processor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Commerce engineering lead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Cloud platform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Temporary IAM role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Specific queue and bucket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Cloud activity record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Next quarterly review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Service decommissioned</w:t>
            </w:r>
          </w:p>
        </w:tc>
      </w:tr>
      <w:tr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app-partner-sync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Entra, production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Partner data sync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Integration lead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Identity engineering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Federated workload identity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Approved API permissions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Service principal sign-in log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Next quarterly review</w:t>
            </w:r>
          </w:p>
        </w:tc>
        <w:tc>
          <w:tcPr>
            <w:tcW w:type="dxa" w:w="964"/>
          </w:tcPr>
          <w:p>
            <w:r>
              <w:rPr>
                <w:b w:val="0"/>
                <w:i/>
                <w:color w:val="8A94A6"/>
                <w:sz w:val="19"/>
              </w:rPr>
              <w:t>Integration contract ends</w:t>
            </w:r>
          </w:p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450D8"/>
          <w:sz w:val="22"/>
        </w:rPr>
        <w:t>ACCEPTANCE CHECKLIST BEFORE AN IDENTITY COUNTS AS GOVERNED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Stable principal ID, platform, tenant and environment recorded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Human owner and technical custodian confirmed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Purpose and dependent workload documented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Authentication method and credential storage identified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Permission scope and trust conditions reviewed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Last-use signal and known scheduled use documented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Rotation or federation decision recorded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Disablement, revocation and rollback path documented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Next review date and retirement trigger assigned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Approval and evidence links retained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IT Lead  |  theitlead.com/blog/non-human-identity-management-best-practices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Non-human identity register template</dc:title>
  <dc:subject/>
  <dc:creator>The IT Lead</dc:creator>
  <cp:keywords/>
  <dc:description>theitlead.com/blog/non-human-identity-management-best-practices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